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102542"/>
          <w:sz w:val="26"/>
          <w:szCs w:val="26"/>
        </w:rPr>
        <w:t xml:space="preserve">ValueLogics.ai</w:t>
      </w:r>
      <w:r>
        <w:rPr>
          <w:rFonts w:ascii="Calibri" w:cs="Calibri" w:eastAsia="Calibri" w:hAnsi="Calibri"/>
          <w:b/>
          <w:bCs/>
          <w:color w:val="B07D1E"/>
          <w:spacing w:val="50"/>
          <w:sz w:val="15"/>
          <w:szCs w:val="15"/>
        </w:rPr>
        <w:t xml:space="preserve">   THE ROI AGENT COMPANY</w:t>
      </w:r>
    </w:p>
    <w:p>
      <w:pPr>
        <w:spacing w:after="240"/>
      </w:pPr>
      <w:r>
        <w:rPr>
          <w:rFonts w:ascii="Calibri" w:cs="Calibri" w:eastAsia="Calibri" w:hAnsi="Calibri"/>
          <w:color w:val="5A6B7C"/>
          <w:sz w:val="17"/>
          <w:szCs w:val="17"/>
        </w:rPr>
        <w:t xml:space="preserve">Sarnosites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2857F"/>
          <w:spacing w:val="60"/>
          <w:sz w:val="17"/>
          <w:szCs w:val="17"/>
        </w:rPr>
        <w:t xml:space="preserve">CASE STUDY  ·  SEMICONDUCTORS  ·  DATA CENTER CONSOLIDATION</w:t>
      </w:r>
    </w:p>
    <w:p>
      <w:pPr>
        <w:spacing w:after="70"/>
      </w:pPr>
      <w:r>
        <w:rPr>
          <w:rFonts w:ascii="Georgia" w:cs="Georgia" w:eastAsia="Georgia" w:hAnsi="Georgia"/>
          <w:b/>
          <w:bCs/>
          <w:color w:val="102542"/>
          <w:sz w:val="44"/>
          <w:szCs w:val="44"/>
        </w:rPr>
        <w:t xml:space="preserve">Intel</w:t>
      </w:r>
    </w:p>
    <w:p>
      <w:pPr>
        <w:pBdr>
          <w:bottom w:val="single" w:color="B07D1E" w:sz="12" w:space="12"/>
        </w:pBdr>
        <w:spacing w:after="260"/>
      </w:pPr>
      <w:r>
        <w:rPr>
          <w:rFonts w:ascii="Georgia" w:cs="Georgia" w:eastAsia="Georgia" w:hAnsi="Georgia"/>
          <w:i/>
          <w:iCs/>
          <w:color w:val="5A6B7C"/>
          <w:sz w:val="23"/>
          <w:szCs w:val="23"/>
        </w:rPr>
        <w:t xml:space="preserve">A TCO framework for multi-processor server selection in data center consolidation, published independently.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Overview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Client: </w:t>
      </w:r>
      <w:r>
        <w:rPr>
          <w:rFonts w:ascii="Georgia" w:cs="Georgia" w:eastAsia="Georgia" w:hAnsi="Georgia"/>
          <w:sz w:val="22"/>
          <w:szCs w:val="22"/>
        </w:rPr>
        <w:t xml:space="preserve">Intel. Published by Edison Group. Anthony Sarno, Senior Analyst.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Industry: </w:t>
      </w:r>
      <w:r>
        <w:rPr>
          <w:rFonts w:ascii="Georgia" w:cs="Georgia" w:eastAsia="Georgia" w:hAnsi="Georgia"/>
          <w:sz w:val="22"/>
          <w:szCs w:val="22"/>
        </w:rPr>
        <w:t xml:space="preserve">Semiconductors, data center infrastructure, virtualization.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Project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A Business Strategy Report demonstrating the end-user business impacts of choosing better processors when designing or purchasing multi-processor servers for data center consolidation projects.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Challenge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People selecting x86 servers for the data center needed information to make an informed decision about the value of higher-density Xeon processors by quantifying the value of energy-efficient data center processors.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Solution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Identified and included all credible, meaningful financial impacts of higher-density server consolidation through better processors and virtualization.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Developed a TCO analysis using recognized cost metrics, balanced against the virtualization density advantages demonstrated in the Edison Group VM benchmarks.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Introduced VM Cost Efficiency as the metric comparing platforms for any given set of VM workloads.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Illustrated the financial calculations through hypothetical scenarios.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Results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Delivered a framework that clearly communicates total cost of ownership and supports decision-making.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Published independently under Edison Group, giving buyers an analysis that is not authored by the processor vendor.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Written to compel readers to conduct their own ROI/TCO analysis, with the cost model provided as a template for their own inputs.</w:t>
      </w:r>
    </w:p>
    <w:p>
      <w:pPr>
        <w:spacing w:before="160"/>
      </w:pPr>
    </w:p>
    <w:tbl>
      <w:tblPr>
        <w:tblW w:type="dxa" w:w="954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40"/>
      </w:tblGrid>
      <w:tr>
        <w:trPr>
          <w:cantSplit/>
        </w:trPr>
        <w:tc>
          <w:tcPr>
            <w:tcW w:type="dxa" w:w="9540"/>
            <w:shd w:fill="12857F" w:color="auto" w:val="clear"/>
            <w:tcMar>
              <w:top w:type="dxa" w:w="190"/>
              <w:left w:type="dxa" w:w="210"/>
              <w:bottom w:type="dxa" w:w="190"/>
              <w:right w:type="dxa" w:w="21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Contact Anthony Sarno at 728-230-5573</w:t>
            </w:r>
            <w:r>
              <w:rPr>
                <w:rFonts w:ascii="Georgia" w:cs="Georgia" w:eastAsia="Georgia" w:hAnsi="Georgia"/>
                <w:color w:val="FFFFFF"/>
                <w:sz w:val="22"/>
                <w:szCs w:val="22"/>
              </w:rPr>
              <w:t xml:space="preserve"> to learn how AI ROI GTM programs can impact your bottom line. Visit the ROI Value Learning Center for free tools and educational resources.  </w:t>
            </w:r>
            <w:hyperlink w:history="1" r:id="rIdusldbliieriqb_-yarcjn">
              <w:r>
                <w:rPr>
                  <w:rFonts w:ascii="Georgia" w:cs="Georgia" w:eastAsia="Georgia" w:hAnsi="Georgia"/>
                  <w:b/>
                  <w:bCs/>
                  <w:color w:val="FFFFFF"/>
                  <w:sz w:val="22"/>
                  <w:szCs w:val="22"/>
                  <w:u w:val="single"/>
                </w:rPr>
                <w:t xml:space="preserve">valuelogics.ai</w:t>
              </w:r>
            </w:hyperlink>
          </w:p>
        </w:tc>
      </w:tr>
    </w:tbl>
    <w:p>
      <w:pPr>
        <w:pBdr>
          <w:top w:val="single" w:color="E2DDD2" w:sz="6" w:space="12"/>
        </w:pBdr>
        <w:spacing w:before="200"/>
        <w:jc w:val="center"/>
      </w:pPr>
      <w:r>
        <w:rPr>
          <w:rFonts w:ascii="Calibri" w:cs="Calibri" w:eastAsia="Calibri" w:hAnsi="Calibri"/>
          <w:color w:val="5A6B7C"/>
          <w:sz w:val="16"/>
          <w:szCs w:val="16"/>
        </w:rPr>
        <w:t xml:space="preserve">ValueLogics.ai  ·  THE ROI AGENT COMPANY  ·  Sarnosites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12857F"/>
          <w:sz w:val="16"/>
          <w:szCs w:val="16"/>
        </w:rPr>
        <w:t xml:space="preserve">Author once. Generate anywhere. Prove it paid off.</w:t>
      </w:r>
    </w:p>
    <w:sectPr>
      <w:pgSz w:w="12240" w:h="15840" w:orient="portrait"/>
      <w:pgMar w:top="1000" w:right="1350" w:bottom="9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00" w:hanging="250"/>
      </w:pPr>
      <w:rPr>
        <w:color w:val="B07D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ldbliieriqb_-yarcjn" Type="http://schemas.openxmlformats.org/officeDocument/2006/relationships/hyperlink" Target="https://valuelogics.ai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2026-09-21T12:34:06.204Z</dcterms:created>
  <dcterms:modified xsi:type="dcterms:W3CDTF">2026-09-21T12:34:06.205Z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