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102542"/>
          <w:sz w:val="26"/>
          <w:szCs w:val="26"/>
        </w:rPr>
        <w:t xml:space="preserve">ValueLogics.ai</w:t>
      </w:r>
      <w:r>
        <w:rPr>
          <w:rFonts w:ascii="Calibri" w:cs="Calibri" w:eastAsia="Calibri" w:hAnsi="Calibri"/>
          <w:b/>
          <w:bCs/>
          <w:color w:val="B07D1E"/>
          <w:spacing w:val="50"/>
          <w:sz w:val="15"/>
          <w:szCs w:val="15"/>
        </w:rPr>
        <w:t xml:space="preserve">   THE ROI AGENT COMPANY</w:t>
      </w:r>
    </w:p>
    <w:p>
      <w:pPr>
        <w:spacing w:after="240"/>
      </w:pPr>
      <w:r>
        <w:rPr>
          <w:rFonts w:ascii="Calibri" w:cs="Calibri" w:eastAsia="Calibri" w:hAnsi="Calibri"/>
          <w:color w:val="5A6B7C"/>
          <w:sz w:val="17"/>
          <w:szCs w:val="17"/>
        </w:rPr>
        <w:t xml:space="preserve">Sarnosites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12857F"/>
          <w:spacing w:val="60"/>
          <w:sz w:val="17"/>
          <w:szCs w:val="17"/>
        </w:rPr>
        <w:t xml:space="preserve">CASE STUDY  ·  INSURANCE  ·  SOFTWARE PORTFOLIO MANAGEMENT</w:t>
      </w:r>
    </w:p>
    <w:p>
      <w:pPr>
        <w:spacing w:after="70"/>
      </w:pPr>
      <w:r>
        <w:rPr>
          <w:rFonts w:ascii="Georgia" w:cs="Georgia" w:eastAsia="Georgia" w:hAnsi="Georgia"/>
          <w:b/>
          <w:bCs/>
          <w:color w:val="102542"/>
          <w:sz w:val="44"/>
          <w:szCs w:val="44"/>
        </w:rPr>
        <w:t xml:space="preserve">Mariner Software</w:t>
      </w:r>
    </w:p>
    <w:p>
      <w:pPr>
        <w:pBdr>
          <w:bottom w:val="single" w:color="B07D1E" w:sz="12" w:space="12"/>
        </w:pBdr>
        <w:spacing w:after="260"/>
      </w:pPr>
      <w:r>
        <w:rPr>
          <w:rFonts w:ascii="Georgia" w:cs="Georgia" w:eastAsia="Georgia" w:hAnsi="Georgia"/>
          <w:i/>
          <w:iCs/>
          <w:color w:val="5A6B7C"/>
          <w:sz w:val="23"/>
          <w:szCs w:val="23"/>
        </w:rPr>
        <w:t xml:space="preserve">An objective valuation from the customer's point of view — where productivity gains proved more valuable than revenue.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Overview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Client: </w:t>
      </w:r>
      <w:r>
        <w:rPr>
          <w:rFonts w:ascii="Georgia" w:cs="Georgia" w:eastAsia="Georgia" w:hAnsi="Georgia"/>
          <w:sz w:val="22"/>
          <w:szCs w:val="22"/>
        </w:rPr>
        <w:t xml:space="preserve">Mariner Software.</w:t>
      </w:r>
    </w:p>
    <w:p>
      <w:pPr>
        <w:spacing w:after="120"/>
      </w:pPr>
      <w:r>
        <w:rPr>
          <w:rFonts w:ascii="Georgia" w:cs="Georgia" w:eastAsia="Georgia" w:hAnsi="Georgia"/>
          <w:b/>
          <w:bCs/>
          <w:sz w:val="22"/>
          <w:szCs w:val="22"/>
        </w:rPr>
        <w:t xml:space="preserve">Industry: </w:t>
      </w:r>
      <w:r>
        <w:rPr>
          <w:rFonts w:ascii="Georgia" w:cs="Georgia" w:eastAsia="Georgia" w:hAnsi="Georgia"/>
          <w:sz w:val="22"/>
          <w:szCs w:val="22"/>
        </w:rPr>
        <w:t xml:space="preserve">Insurance, software portfolio management.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Situation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A private equity firm bought a software portfolio management platform and wanted to decide whether to start a remarketing campaign right away.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Challenge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The firm needed to determine the software's total cost of ownership and revenue for its main market: insurance. But it was hard to show how reducing operational friction and risk would affect the balance sheet.</w:t>
      </w:r>
    </w:p>
    <w:p>
      <w:pPr>
        <w:spacing w:after="120"/>
      </w:pPr>
      <w:r>
        <w:rPr>
          <w:rFonts w:ascii="Georgia" w:cs="Georgia" w:eastAsia="Georgia" w:hAnsi="Georgia"/>
          <w:sz w:val="22"/>
          <w:szCs w:val="22"/>
        </w:rPr>
        <w:t xml:space="preserve">In enterprise B2B software, when a tool mainly optimizes delivery, basic ROI calculators often miss the full value.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Solution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Built an objective valuation from the customer's perspective. By running a Value Modeling workshop, we turned intangible benefits into clear financial numbers. The workshop helped identify and measure the challenges buying-committee members face, as well as financial options and validation.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Created a business case that quantified the product's intangible benefits.</w:t>
      </w:r>
    </w:p>
    <w:p>
      <w:pPr>
        <w:spacing w:after="110" w:before="260"/>
      </w:pPr>
      <w:r>
        <w:rPr>
          <w:rFonts w:ascii="Calibri" w:cs="Calibri" w:eastAsia="Calibri" w:hAnsi="Calibri"/>
          <w:b/>
          <w:bCs/>
          <w:color w:val="12857F"/>
          <w:sz w:val="26"/>
          <w:szCs w:val="26"/>
        </w:rPr>
        <w:t xml:space="preserve">Results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Value Branding and a Level 5 Customer Value Selling Proposition.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A customer-focused approach and sales presentation helped the firm make a fact-based decision.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Georgia" w:cs="Georgia" w:eastAsia="Georgia" w:hAnsi="Georgia"/>
          <w:sz w:val="22"/>
          <w:szCs w:val="22"/>
        </w:rPr>
        <w:t xml:space="preserve">The final model showed that productivity gains were even more valuable than increased revenue.</w:t>
      </w:r>
    </w:p>
    <w:p>
      <w:pPr>
        <w:spacing w:before="160"/>
      </w:pPr>
    </w:p>
    <w:tbl>
      <w:tblPr>
        <w:tblW w:type="dxa" w:w="954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40"/>
      </w:tblGrid>
      <w:tr>
        <w:trPr>
          <w:cantSplit/>
        </w:trPr>
        <w:tc>
          <w:tcPr>
            <w:tcW w:type="dxa" w:w="9540"/>
            <w:shd w:fill="12857F" w:color="auto" w:val="clear"/>
            <w:tcMar>
              <w:top w:type="dxa" w:w="190"/>
              <w:left w:type="dxa" w:w="210"/>
              <w:bottom w:type="dxa" w:w="190"/>
              <w:right w:type="dxa" w:w="21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Want to see real results? Call Anthony Sarno at 728-230-5573</w:t>
            </w:r>
            <w:r>
              <w:rPr>
                <w:rFonts w:ascii="Georgia" w:cs="Georgia" w:eastAsia="Georgia" w:hAnsi="Georgia"/>
                <w:color w:val="FFFFFF"/>
                <w:sz w:val="22"/>
                <w:szCs w:val="22"/>
              </w:rPr>
              <w:t xml:space="preserve"> to set up a free consultation or get a custom ROI assessment for your business. You can also visit the ROI Value Learning Center for free tools and resources.  </w:t>
            </w:r>
            <w:hyperlink w:history="1" r:id="rIdel4gcl3-uxtekvivbzsoh">
              <w:r>
                <w:rPr>
                  <w:rFonts w:ascii="Georgia" w:cs="Georgia" w:eastAsia="Georgia" w:hAnsi="Georgia"/>
                  <w:b/>
                  <w:bCs/>
                  <w:color w:val="FFFFFF"/>
                  <w:sz w:val="22"/>
                  <w:szCs w:val="22"/>
                  <w:u w:val="single"/>
                </w:rPr>
                <w:t xml:space="preserve">valuelogics.ai</w:t>
              </w:r>
            </w:hyperlink>
          </w:p>
        </w:tc>
      </w:tr>
    </w:tbl>
    <w:p>
      <w:pPr>
        <w:pBdr>
          <w:top w:val="single" w:color="E2DDD2" w:sz="6" w:space="12"/>
        </w:pBdr>
        <w:spacing w:before="200"/>
        <w:jc w:val="center"/>
      </w:pPr>
      <w:r>
        <w:rPr>
          <w:rFonts w:ascii="Calibri" w:cs="Calibri" w:eastAsia="Calibri" w:hAnsi="Calibri"/>
          <w:color w:val="5A6B7C"/>
          <w:sz w:val="16"/>
          <w:szCs w:val="16"/>
        </w:rPr>
        <w:t xml:space="preserve">ValueLogics.ai  ·  THE ROI AGENT COMPANY  ·  Sarnosites</w:t>
      </w:r>
    </w:p>
    <w:p>
      <w:pPr>
        <w:jc w:val="center"/>
      </w:pPr>
      <w:r>
        <w:rPr>
          <w:rFonts w:ascii="Georgia" w:cs="Georgia" w:eastAsia="Georgia" w:hAnsi="Georgia"/>
          <w:i/>
          <w:iCs/>
          <w:color w:val="12857F"/>
          <w:sz w:val="16"/>
          <w:szCs w:val="16"/>
        </w:rPr>
        <w:t xml:space="preserve">Author once. Generate anywhere. Prove it paid off.</w:t>
      </w:r>
    </w:p>
    <w:sectPr>
      <w:pgSz w:w="12240" w:h="15840" w:orient="portrait"/>
      <w:pgMar w:top="1000" w:right="1350" w:bottom="9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400" w:hanging="250"/>
      </w:pPr>
      <w:rPr>
        <w:color w:val="B07D1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4gcl3-uxtekvivbzsoh" Type="http://schemas.openxmlformats.org/officeDocument/2006/relationships/hyperlink" Target="https://valuelogics.ai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2026-09-21T19:02:54.059Z</dcterms:created>
  <dcterms:modified xsi:type="dcterms:W3CDTF">2026-09-21T19:02:54.069Z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