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102542"/>
          <w:sz w:val="26"/>
          <w:szCs w:val="26"/>
        </w:rPr>
        <w:t xml:space="preserve">ValueLogics.ai</w:t>
      </w:r>
      <w:r>
        <w:rPr>
          <w:rFonts w:ascii="Calibri" w:cs="Calibri" w:eastAsia="Calibri" w:hAnsi="Calibri"/>
          <w:b/>
          <w:bCs/>
          <w:color w:val="B07D1E"/>
          <w:spacing w:val="50"/>
          <w:sz w:val="15"/>
          <w:szCs w:val="15"/>
        </w:rPr>
        <w:t xml:space="preserve">   THE ROI AGENT COMPANY</w:t>
      </w:r>
    </w:p>
    <w:p>
      <w:pPr>
        <w:spacing w:after="240"/>
      </w:pPr>
      <w:r>
        <w:rPr>
          <w:rFonts w:ascii="Calibri" w:cs="Calibri" w:eastAsia="Calibri" w:hAnsi="Calibri"/>
          <w:color w:val="5A6B7C"/>
          <w:sz w:val="17"/>
          <w:szCs w:val="17"/>
        </w:rPr>
        <w:t xml:space="preserve">Sarnosites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12857F"/>
          <w:spacing w:val="60"/>
          <w:sz w:val="17"/>
          <w:szCs w:val="17"/>
        </w:rPr>
        <w:t xml:space="preserve">CASE STUDY  ·  INSURANCE  ·  DATA WAREHOUSE</w:t>
      </w:r>
    </w:p>
    <w:p>
      <w:pPr>
        <w:spacing w:after="70"/>
      </w:pPr>
      <w:r>
        <w:rPr>
          <w:rFonts w:ascii="Georgia" w:cs="Georgia" w:eastAsia="Georgia" w:hAnsi="Georgia"/>
          <w:b/>
          <w:bCs/>
          <w:color w:val="102542"/>
          <w:sz w:val="44"/>
          <w:szCs w:val="44"/>
        </w:rPr>
        <w:t xml:space="preserve">Sumitomo Marine Management</w:t>
      </w:r>
    </w:p>
    <w:p>
      <w:pPr>
        <w:pBdr>
          <w:bottom w:val="single" w:color="B07D1E" w:sz="12" w:space="12"/>
        </w:pBdr>
        <w:spacing w:after="260"/>
      </w:pPr>
      <w:r>
        <w:rPr>
          <w:rFonts w:ascii="Georgia" w:cs="Georgia" w:eastAsia="Georgia" w:hAnsi="Georgia"/>
          <w:i/>
          <w:iCs/>
          <w:color w:val="5A6B7C"/>
          <w:sz w:val="23"/>
          <w:szCs w:val="23"/>
        </w:rPr>
        <w:t xml:space="preserve">Designing a decision support capability for a property insurer newly converted to AS/400, built around cross-selling.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Overview</w:t>
      </w:r>
    </w:p>
    <w:p>
      <w:pPr>
        <w:spacing w:after="12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Client: </w:t>
      </w:r>
      <w:r>
        <w:rPr>
          <w:rFonts w:ascii="Georgia" w:cs="Georgia" w:eastAsia="Georgia" w:hAnsi="Georgia"/>
          <w:sz w:val="22"/>
          <w:szCs w:val="22"/>
        </w:rPr>
        <w:t xml:space="preserve">Sumitomo Marine Management. IBM lead contractor.</w:t>
      </w:r>
    </w:p>
    <w:p>
      <w:pPr>
        <w:spacing w:after="12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Industry: </w:t>
      </w:r>
      <w:r>
        <w:rPr>
          <w:rFonts w:ascii="Georgia" w:cs="Georgia" w:eastAsia="Georgia" w:hAnsi="Georgia"/>
          <w:sz w:val="22"/>
          <w:szCs w:val="22"/>
        </w:rPr>
        <w:t xml:space="preserve">Property insurance.</w:t>
      </w:r>
    </w:p>
    <w:p>
      <w:pPr>
        <w:spacing w:after="12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Role: </w:t>
      </w:r>
      <w:r>
        <w:rPr>
          <w:rFonts w:ascii="Georgia" w:cs="Georgia" w:eastAsia="Georgia" w:hAnsi="Georgia"/>
          <w:sz w:val="22"/>
          <w:szCs w:val="22"/>
        </w:rPr>
        <w:t xml:space="preserve">Senior data warehouse consultant, responsible for data warehouse requirements and design.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Situation</w:t>
      </w:r>
    </w:p>
    <w:p>
      <w:pPr>
        <w:spacing w:after="120"/>
      </w:pPr>
      <w:r>
        <w:rPr>
          <w:rFonts w:ascii="Georgia" w:cs="Georgia" w:eastAsia="Georgia" w:hAnsi="Georgia"/>
          <w:sz w:val="22"/>
          <w:szCs w:val="22"/>
        </w:rPr>
        <w:t xml:space="preserve">IBM converted Sumitomo Marine Management's operational system to an AS/400 platform. They lacked a decision support capability.</w:t>
      </w:r>
    </w:p>
    <w:p>
      <w:pPr>
        <w:spacing w:after="120"/>
      </w:pPr>
      <w:r>
        <w:rPr>
          <w:rFonts w:ascii="Georgia" w:cs="Georgia" w:eastAsia="Georgia" w:hAnsi="Georgia"/>
          <w:sz w:val="22"/>
          <w:szCs w:val="22"/>
        </w:rPr>
        <w:t xml:space="preserve">Source databases included DB/400, Oracle, and Lotus Notes.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Solution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Created and executed a structured approach to gather business requirements.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Conducted joint application development sessions with senior executives to create and align business objectives to the data warehouse.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Used business examples to convey the content and usage of the data warehouse.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Designed a technical infrastructure system architecture that used a metadata layer to manage the warehouse.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Completed a comprehensive analysis of available products prior to recommendations.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Deliverables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Star schema data models generated in ERwin.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Multidimensional prototypes created in Cognos and DSS Agent.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Data warehouse meta models.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An evaluated and recommended repository.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A multiple-phase architecture with implementation project plan and costs.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A tool selection methodology, created and executed.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Results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A data warehouse supporting multidimensional, detailed, and cross-selling reporting.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Final architecture resulted in a mechanized warehouse with a business information directory.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Leveraged their core capability to increase market share in their target market, by increasing cross-selling without increasing operational costs.</w:t>
      </w:r>
    </w:p>
    <w:p>
      <w:pPr>
        <w:spacing w:before="160"/>
      </w:pPr>
    </w:p>
    <w:tbl>
      <w:tblPr>
        <w:tblW w:type="dxa" w:w="954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40"/>
      </w:tblGrid>
      <w:tr>
        <w:trPr>
          <w:cantSplit/>
        </w:trPr>
        <w:tc>
          <w:tcPr>
            <w:tcW w:type="dxa" w:w="9540"/>
            <w:shd w:fill="12857F" w:color="auto" w:val="clear"/>
            <w:tcMar>
              <w:top w:type="dxa" w:w="190"/>
              <w:left w:type="dxa" w:w="210"/>
              <w:bottom w:type="dxa" w:w="190"/>
              <w:right w:type="dxa" w:w="21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Contact Anthony Sarno at 728-230-5573</w:t>
            </w:r>
            <w:r>
              <w:rPr>
                <w:rFonts w:ascii="Georgia" w:cs="Georgia" w:eastAsia="Georgia" w:hAnsi="Georgia"/>
                <w:color w:val="FFFFFF"/>
                <w:sz w:val="22"/>
                <w:szCs w:val="22"/>
              </w:rPr>
              <w:t xml:space="preserve"> to learn how AI ROI GTM programs can impact your bottom line. Visit the ROI Value Learning Center for free tools and educational resources.  </w:t>
            </w:r>
            <w:hyperlink w:history="1" r:id="rIdcjeyeqjch_v7floortbzl">
              <w:r>
                <w:rPr>
                  <w:rFonts w:ascii="Georgia" w:cs="Georgia" w:eastAsia="Georgia" w:hAnsi="Georgia"/>
                  <w:b/>
                  <w:bCs/>
                  <w:color w:val="FFFFFF"/>
                  <w:sz w:val="22"/>
                  <w:szCs w:val="22"/>
                  <w:u w:val="single"/>
                </w:rPr>
                <w:t xml:space="preserve">valuelogics.ai</w:t>
              </w:r>
            </w:hyperlink>
          </w:p>
        </w:tc>
      </w:tr>
    </w:tbl>
    <w:p>
      <w:pPr>
        <w:pBdr>
          <w:top w:val="single" w:color="E2DDD2" w:sz="6" w:space="12"/>
        </w:pBdr>
        <w:spacing w:before="200"/>
        <w:jc w:val="center"/>
      </w:pPr>
      <w:r>
        <w:rPr>
          <w:rFonts w:ascii="Calibri" w:cs="Calibri" w:eastAsia="Calibri" w:hAnsi="Calibri"/>
          <w:color w:val="5A6B7C"/>
          <w:sz w:val="16"/>
          <w:szCs w:val="16"/>
        </w:rPr>
        <w:t xml:space="preserve">ValueLogics.ai  ·  THE ROI AGENT COMPANY  ·  Sarnosites</w:t>
      </w:r>
    </w:p>
    <w:p>
      <w:pPr>
        <w:jc w:val="center"/>
      </w:pPr>
      <w:r>
        <w:rPr>
          <w:rFonts w:ascii="Georgia" w:cs="Georgia" w:eastAsia="Georgia" w:hAnsi="Georgia"/>
          <w:i/>
          <w:iCs/>
          <w:color w:val="12857F"/>
          <w:sz w:val="16"/>
          <w:szCs w:val="16"/>
        </w:rPr>
        <w:t xml:space="preserve">Author once. Generate anywhere. Prove it paid off.</w:t>
      </w:r>
    </w:p>
    <w:sectPr>
      <w:pgSz w:w="12240" w:h="15840" w:orient="portrait"/>
      <w:pgMar w:top="1000" w:right="1350" w:bottom="900" w:left="13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400" w:hanging="250"/>
      </w:pPr>
      <w:rPr>
        <w:color w:val="B07D1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eyeqjch_v7floortbzl" Type="http://schemas.openxmlformats.org/officeDocument/2006/relationships/hyperlink" Target="https://valuelogics.ai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2026-09-21T13:14:51.190Z</dcterms:created>
  <dcterms:modified xsi:type="dcterms:W3CDTF">2026-09-21T13:14:51.190Z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