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rFonts w:ascii="Calibri" w:cs="Calibri" w:eastAsia="Calibri" w:hAnsi="Calibri"/>
          <w:b/>
          <w:bCs/>
          <w:color w:val="102542"/>
          <w:sz w:val="26"/>
          <w:szCs w:val="26"/>
        </w:rPr>
        <w:t xml:space="preserve">ValueLogics.ai</w:t>
      </w:r>
      <w:r>
        <w:rPr>
          <w:rFonts w:ascii="Calibri" w:cs="Calibri" w:eastAsia="Calibri" w:hAnsi="Calibri"/>
          <w:b/>
          <w:bCs/>
          <w:color w:val="B07D1E"/>
          <w:spacing w:val="50"/>
          <w:sz w:val="15"/>
          <w:szCs w:val="15"/>
        </w:rPr>
        <w:t xml:space="preserve">   THE ROI AGENT COMPANY</w:t>
      </w:r>
    </w:p>
    <w:p>
      <w:pPr>
        <w:spacing w:after="240"/>
      </w:pPr>
      <w:r>
        <w:rPr>
          <w:rFonts w:ascii="Calibri" w:cs="Calibri" w:eastAsia="Calibri" w:hAnsi="Calibri"/>
          <w:color w:val="5A6B7C"/>
          <w:sz w:val="17"/>
          <w:szCs w:val="17"/>
        </w:rPr>
        <w:t xml:space="preserve">Sarnosites</w:t>
      </w:r>
    </w:p>
    <w:p>
      <w:pPr>
        <w:spacing w:after="90"/>
      </w:pPr>
      <w:r>
        <w:rPr>
          <w:rFonts w:ascii="Calibri" w:cs="Calibri" w:eastAsia="Calibri" w:hAnsi="Calibri"/>
          <w:b/>
          <w:bCs/>
          <w:color w:val="12857F"/>
          <w:spacing w:val="60"/>
          <w:sz w:val="17"/>
          <w:szCs w:val="17"/>
        </w:rPr>
        <w:t xml:space="preserve">CASE STUDY  ·  BEVERAGES  ·  GLOBAL DATA WAREHOUSE</w:t>
      </w:r>
    </w:p>
    <w:p>
      <w:pPr>
        <w:spacing w:after="70"/>
      </w:pPr>
      <w:r>
        <w:rPr>
          <w:rFonts w:ascii="Georgia" w:cs="Georgia" w:eastAsia="Georgia" w:hAnsi="Georgia"/>
          <w:b/>
          <w:bCs/>
          <w:color w:val="102542"/>
          <w:sz w:val="44"/>
          <w:szCs w:val="44"/>
        </w:rPr>
        <w:t xml:space="preserve">The Coca-Cola Company</w:t>
      </w:r>
    </w:p>
    <w:p>
      <w:pPr>
        <w:pBdr>
          <w:bottom w:val="single" w:color="B07D1E" w:sz="12" w:space="12"/>
        </w:pBdr>
        <w:spacing w:after="260"/>
      </w:pPr>
      <w:r>
        <w:rPr>
          <w:rFonts w:ascii="Georgia" w:cs="Georgia" w:eastAsia="Georgia" w:hAnsi="Georgia"/>
          <w:i/>
          <w:iCs/>
          <w:color w:val="5A6B7C"/>
          <w:sz w:val="23"/>
          <w:szCs w:val="23"/>
        </w:rPr>
        <w:t xml:space="preserve">A metadata-driven architecture for a global data warehouse environment spanning five continental warehouses.</w:t>
      </w:r>
    </w:p>
    <w:p>
      <w:pPr>
        <w:spacing w:after="110" w:before="260"/>
      </w:pPr>
      <w:r>
        <w:rPr>
          <w:rFonts w:ascii="Calibri" w:cs="Calibri" w:eastAsia="Calibri" w:hAnsi="Calibri"/>
          <w:b/>
          <w:bCs/>
          <w:color w:val="12857F"/>
          <w:sz w:val="26"/>
          <w:szCs w:val="26"/>
        </w:rPr>
        <w:t xml:space="preserve">Overview</w:t>
      </w:r>
    </w:p>
    <w:p>
      <w:pPr>
        <w:spacing w:after="12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Client: </w:t>
      </w:r>
      <w:r>
        <w:rPr>
          <w:rFonts w:ascii="Georgia" w:cs="Georgia" w:eastAsia="Georgia" w:hAnsi="Georgia"/>
          <w:sz w:val="22"/>
          <w:szCs w:val="22"/>
        </w:rPr>
        <w:t xml:space="preserve">The Coca-Cola Company.</w:t>
      </w:r>
    </w:p>
    <w:p>
      <w:pPr>
        <w:spacing w:after="12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Industry: </w:t>
      </w:r>
      <w:r>
        <w:rPr>
          <w:rFonts w:ascii="Georgia" w:cs="Georgia" w:eastAsia="Georgia" w:hAnsi="Georgia"/>
          <w:sz w:val="22"/>
          <w:szCs w:val="22"/>
        </w:rPr>
        <w:t xml:space="preserve">Beverages; global data warehouse and business intelligence.</w:t>
      </w:r>
    </w:p>
    <w:p>
      <w:pPr>
        <w:spacing w:after="12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Role: </w:t>
      </w:r>
      <w:r>
        <w:rPr>
          <w:rFonts w:ascii="Georgia" w:cs="Georgia" w:eastAsia="Georgia" w:hAnsi="Georgia"/>
          <w:sz w:val="22"/>
          <w:szCs w:val="22"/>
        </w:rPr>
        <w:t xml:space="preserve">Senior technical consultant to the company's core data warehouse team, reporting to the CIO.</w:t>
      </w:r>
    </w:p>
    <w:p>
      <w:pPr>
        <w:spacing w:after="110" w:before="260"/>
      </w:pPr>
      <w:r>
        <w:rPr>
          <w:rFonts w:ascii="Calibri" w:cs="Calibri" w:eastAsia="Calibri" w:hAnsi="Calibri"/>
          <w:b/>
          <w:bCs/>
          <w:color w:val="12857F"/>
          <w:sz w:val="26"/>
          <w:szCs w:val="26"/>
        </w:rPr>
        <w:t xml:space="preserve">Situation</w:t>
      </w:r>
    </w:p>
    <w:p>
      <w:pPr>
        <w:spacing w:after="120"/>
      </w:pPr>
      <w:r>
        <w:rPr>
          <w:rFonts w:ascii="Georgia" w:cs="Georgia" w:eastAsia="Georgia" w:hAnsi="Georgia"/>
          <w:sz w:val="22"/>
          <w:szCs w:val="22"/>
        </w:rPr>
        <w:t xml:space="preserve">A global data warehouse environment with five continental data warehouses and numerous datamarts.</w:t>
      </w:r>
    </w:p>
    <w:p>
      <w:pPr>
        <w:spacing w:after="120"/>
      </w:pPr>
      <w:r>
        <w:rPr>
          <w:rFonts w:ascii="Georgia" w:cs="Georgia" w:eastAsia="Georgia" w:hAnsi="Georgia"/>
          <w:sz w:val="22"/>
          <w:szCs w:val="22"/>
        </w:rPr>
        <w:t xml:space="preserve">The technical environment included NCR Teradata, IBM 3090, IBM AS/400, and NT Servers. Operational systems were being migrated to SAP.</w:t>
      </w:r>
    </w:p>
    <w:p>
      <w:pPr>
        <w:spacing w:after="110" w:before="260"/>
      </w:pPr>
      <w:r>
        <w:rPr>
          <w:rFonts w:ascii="Calibri" w:cs="Calibri" w:eastAsia="Calibri" w:hAnsi="Calibri"/>
          <w:b/>
          <w:bCs/>
          <w:color w:val="12857F"/>
          <w:sz w:val="26"/>
          <w:szCs w:val="26"/>
        </w:rPr>
        <w:t xml:space="preserve">Solution</w:t>
      </w:r>
    </w:p>
    <w:p>
      <w:pPr>
        <w:pStyle w:val="ListParagraph"/>
        <w:numPr>
          <w:ilvl w:val="0"/>
          <w:numId w:val="2"/>
        </w:numPr>
        <w:spacing w:after="110"/>
      </w:pPr>
      <w:r>
        <w:rPr>
          <w:rFonts w:ascii="Georgia" w:cs="Georgia" w:eastAsia="Georgia" w:hAnsi="Georgia"/>
          <w:sz w:val="22"/>
          <w:szCs w:val="22"/>
        </w:rPr>
        <w:t xml:space="preserve">Combined short-term product recommendations with a long-term, metadata-driven architecture.</w:t>
      </w:r>
    </w:p>
    <w:p>
      <w:pPr>
        <w:pStyle w:val="ListParagraph"/>
        <w:numPr>
          <w:ilvl w:val="0"/>
          <w:numId w:val="2"/>
        </w:numPr>
        <w:spacing w:after="110"/>
      </w:pPr>
      <w:r>
        <w:rPr>
          <w:rFonts w:ascii="Georgia" w:cs="Georgia" w:eastAsia="Georgia" w:hAnsi="Georgia"/>
          <w:sz w:val="22"/>
          <w:szCs w:val="22"/>
        </w:rPr>
        <w:t xml:space="preserve">Integrated emerging component technology (DCOM / CORBA) with the data warehouse process to create an automated solution based upon a customized metamodel.</w:t>
      </w:r>
    </w:p>
    <w:p>
      <w:pPr>
        <w:pStyle w:val="ListParagraph"/>
        <w:numPr>
          <w:ilvl w:val="0"/>
          <w:numId w:val="2"/>
        </w:numPr>
        <w:spacing w:after="110"/>
      </w:pPr>
      <w:r>
        <w:rPr>
          <w:rFonts w:ascii="Georgia" w:cs="Georgia" w:eastAsia="Georgia" w:hAnsi="Georgia"/>
          <w:sz w:val="22"/>
          <w:szCs w:val="22"/>
        </w:rPr>
        <w:t xml:space="preserve">Established a business information directory as the foundation for a sophisticated business intelligence environment, including unstructured reporting, workflow, and Publish &amp; Subscribe functionality.</w:t>
      </w:r>
    </w:p>
    <w:p>
      <w:pPr>
        <w:spacing w:after="110" w:before="260"/>
      </w:pPr>
      <w:r>
        <w:rPr>
          <w:rFonts w:ascii="Calibri" w:cs="Calibri" w:eastAsia="Calibri" w:hAnsi="Calibri"/>
          <w:b/>
          <w:bCs/>
          <w:color w:val="12857F"/>
          <w:sz w:val="26"/>
          <w:szCs w:val="26"/>
        </w:rPr>
        <w:t xml:space="preserve">Deliverables</w:t>
      </w:r>
    </w:p>
    <w:p>
      <w:pPr>
        <w:pStyle w:val="ListParagraph"/>
        <w:numPr>
          <w:ilvl w:val="0"/>
          <w:numId w:val="2"/>
        </w:numPr>
        <w:spacing w:after="110"/>
      </w:pPr>
      <w:r>
        <w:rPr>
          <w:rFonts w:ascii="Georgia" w:cs="Georgia" w:eastAsia="Georgia" w:hAnsi="Georgia"/>
          <w:sz w:val="22"/>
          <w:szCs w:val="22"/>
        </w:rPr>
        <w:t xml:space="preserve">Customized a common framework to represent the company's data warehouse architecture.</w:t>
      </w:r>
    </w:p>
    <w:p>
      <w:pPr>
        <w:pStyle w:val="ListParagraph"/>
        <w:numPr>
          <w:ilvl w:val="0"/>
          <w:numId w:val="2"/>
        </w:numPr>
        <w:spacing w:after="110"/>
      </w:pPr>
      <w:r>
        <w:rPr>
          <w:rFonts w:ascii="Georgia" w:cs="Georgia" w:eastAsia="Georgia" w:hAnsi="Georgia"/>
          <w:sz w:val="22"/>
          <w:szCs w:val="22"/>
        </w:rPr>
        <w:t xml:space="preserve">Provided a structured methodology for datamart definition.</w:t>
      </w:r>
    </w:p>
    <w:p>
      <w:pPr>
        <w:pStyle w:val="ListParagraph"/>
        <w:numPr>
          <w:ilvl w:val="0"/>
          <w:numId w:val="2"/>
        </w:numPr>
        <w:spacing w:after="110"/>
      </w:pPr>
      <w:r>
        <w:rPr>
          <w:rFonts w:ascii="Georgia" w:cs="Georgia" w:eastAsia="Georgia" w:hAnsi="Georgia"/>
          <w:sz w:val="22"/>
          <w:szCs w:val="22"/>
        </w:rPr>
        <w:t xml:space="preserve">Created and executed a methodology for tool selection.</w:t>
      </w:r>
    </w:p>
    <w:p>
      <w:pPr>
        <w:pStyle w:val="ListParagraph"/>
        <w:numPr>
          <w:ilvl w:val="0"/>
          <w:numId w:val="2"/>
        </w:numPr>
        <w:spacing w:after="110"/>
      </w:pPr>
      <w:r>
        <w:rPr>
          <w:rFonts w:ascii="Georgia" w:cs="Georgia" w:eastAsia="Georgia" w:hAnsi="Georgia"/>
          <w:sz w:val="22"/>
          <w:szCs w:val="22"/>
        </w:rPr>
        <w:t xml:space="preserve">Solved complex metadata replication and synchronization issues.</w:t>
      </w:r>
    </w:p>
    <w:p>
      <w:pPr>
        <w:pStyle w:val="ListParagraph"/>
        <w:numPr>
          <w:ilvl w:val="0"/>
          <w:numId w:val="2"/>
        </w:numPr>
        <w:spacing w:after="110"/>
      </w:pPr>
      <w:r>
        <w:rPr>
          <w:rFonts w:ascii="Georgia" w:cs="Georgia" w:eastAsia="Georgia" w:hAnsi="Georgia"/>
          <w:sz w:val="22"/>
          <w:szCs w:val="22"/>
        </w:rPr>
        <w:t xml:space="preserve">Provided access to accurate historical data through the business information directory.</w:t>
      </w:r>
    </w:p>
    <w:p>
      <w:pPr>
        <w:pStyle w:val="ListParagraph"/>
        <w:numPr>
          <w:ilvl w:val="0"/>
          <w:numId w:val="2"/>
        </w:numPr>
        <w:spacing w:after="110"/>
      </w:pPr>
      <w:r>
        <w:rPr>
          <w:rFonts w:ascii="Georgia" w:cs="Georgia" w:eastAsia="Georgia" w:hAnsi="Georgia"/>
          <w:sz w:val="22"/>
          <w:szCs w:val="22"/>
        </w:rPr>
        <w:t xml:space="preserve">Evaluated and recommended tools for every facet of the data warehouse.</w:t>
      </w:r>
    </w:p>
    <w:p>
      <w:pPr>
        <w:spacing w:after="110" w:before="260"/>
      </w:pPr>
      <w:r>
        <w:rPr>
          <w:rFonts w:ascii="Calibri" w:cs="Calibri" w:eastAsia="Calibri" w:hAnsi="Calibri"/>
          <w:b/>
          <w:bCs/>
          <w:color w:val="12857F"/>
          <w:sz w:val="26"/>
          <w:szCs w:val="26"/>
        </w:rPr>
        <w:t xml:space="preserve">Results</w:t>
      </w:r>
    </w:p>
    <w:p>
      <w:pPr>
        <w:pStyle w:val="ListParagraph"/>
        <w:numPr>
          <w:ilvl w:val="0"/>
          <w:numId w:val="2"/>
        </w:numPr>
        <w:spacing w:after="110"/>
      </w:pPr>
      <w:r>
        <w:rPr>
          <w:rFonts w:ascii="Georgia" w:cs="Georgia" w:eastAsia="Georgia" w:hAnsi="Georgia"/>
          <w:sz w:val="22"/>
          <w:szCs w:val="22"/>
        </w:rPr>
        <w:t xml:space="preserve">Deliverables were successful in achieving an allocation for funding by the CIO and CFO.</w:t>
      </w:r>
    </w:p>
    <w:p>
      <w:pPr>
        <w:pStyle w:val="ListParagraph"/>
        <w:numPr>
          <w:ilvl w:val="0"/>
          <w:numId w:val="2"/>
        </w:numPr>
        <w:spacing w:after="110"/>
      </w:pPr>
      <w:r>
        <w:rPr>
          <w:rFonts w:ascii="Georgia" w:cs="Georgia" w:eastAsia="Georgia" w:hAnsi="Georgia"/>
          <w:sz w:val="22"/>
          <w:szCs w:val="22"/>
        </w:rPr>
        <w:t xml:space="preserve">The Coca-Cola Company co-presented the results at the DCI Data Warehouse Conference in Atlanta, GA.</w:t>
      </w:r>
    </w:p>
    <w:p>
      <w:pPr>
        <w:spacing w:before="160"/>
      </w:pPr>
    </w:p>
    <w:tbl>
      <w:tblPr>
        <w:tblW w:type="dxa" w:w="954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540"/>
      </w:tblGrid>
      <w:tr>
        <w:trPr>
          <w:cantSplit/>
        </w:trPr>
        <w:tc>
          <w:tcPr>
            <w:tcW w:type="dxa" w:w="9540"/>
            <w:shd w:fill="12857F" w:color="auto" w:val="clear"/>
            <w:tcMar>
              <w:top w:type="dxa" w:w="190"/>
              <w:left w:type="dxa" w:w="210"/>
              <w:bottom w:type="dxa" w:w="190"/>
              <w:right w:type="dxa" w:w="21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FFFFFF"/>
                <w:sz w:val="22"/>
                <w:szCs w:val="22"/>
              </w:rPr>
              <w:t xml:space="preserve">Contact Anthony Sarno at 728-230-5573</w:t>
            </w:r>
            <w:r>
              <w:rPr>
                <w:rFonts w:ascii="Georgia" w:cs="Georgia" w:eastAsia="Georgia" w:hAnsi="Georgia"/>
                <w:color w:val="FFFFFF"/>
                <w:sz w:val="22"/>
                <w:szCs w:val="22"/>
              </w:rPr>
              <w:t xml:space="preserve"> to learn how AI ROI GTM programs can impact your bottom line. Visit the ROI Value Learning Center for free tools and educational resources.  </w:t>
            </w:r>
            <w:hyperlink w:history="1" r:id="rIdhxira3msix8tp5tcf0-1u">
              <w:r>
                <w:rPr>
                  <w:rFonts w:ascii="Georgia" w:cs="Georgia" w:eastAsia="Georgia" w:hAnsi="Georgia"/>
                  <w:b/>
                  <w:bCs/>
                  <w:color w:val="FFFFFF"/>
                  <w:sz w:val="22"/>
                  <w:szCs w:val="22"/>
                  <w:u w:val="single"/>
                </w:rPr>
                <w:t xml:space="preserve">valuelogics.ai</w:t>
              </w:r>
            </w:hyperlink>
          </w:p>
        </w:tc>
      </w:tr>
    </w:tbl>
    <w:p>
      <w:pPr>
        <w:pBdr>
          <w:top w:val="single" w:color="E2DDD2" w:sz="6" w:space="12"/>
        </w:pBdr>
        <w:spacing w:before="200"/>
        <w:jc w:val="center"/>
      </w:pPr>
      <w:r>
        <w:rPr>
          <w:rFonts w:ascii="Calibri" w:cs="Calibri" w:eastAsia="Calibri" w:hAnsi="Calibri"/>
          <w:color w:val="5A6B7C"/>
          <w:sz w:val="16"/>
          <w:szCs w:val="16"/>
        </w:rPr>
        <w:t xml:space="preserve">ValueLogics.ai  ·  THE ROI AGENT COMPANY  ·  Sarnosites</w:t>
      </w:r>
    </w:p>
    <w:p>
      <w:pPr>
        <w:jc w:val="center"/>
      </w:pPr>
      <w:r>
        <w:rPr>
          <w:rFonts w:ascii="Georgia" w:cs="Georgia" w:eastAsia="Georgia" w:hAnsi="Georgia"/>
          <w:i/>
          <w:iCs/>
          <w:color w:val="12857F"/>
          <w:sz w:val="16"/>
          <w:szCs w:val="16"/>
        </w:rPr>
        <w:t xml:space="preserve">Author once. Generate anywhere. Prove it paid off.</w:t>
      </w:r>
    </w:p>
    <w:sectPr>
      <w:pgSz w:w="12240" w:h="15840" w:orient="portrait"/>
      <w:pgMar w:top="1000" w:right="1350" w:bottom="900" w:left="13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▪"/>
      <w:lvlJc w:val="left"/>
      <w:pPr>
        <w:ind w:left="400" w:hanging="250"/>
      </w:pPr>
      <w:rPr>
        <w:color w:val="B07D1E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xira3msix8tp5tcf0-1u" Type="http://schemas.openxmlformats.org/officeDocument/2006/relationships/hyperlink" Target="https://valuelogics.ai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2026-09-21T13:14:09.788Z</dcterms:created>
  <dcterms:modified xsi:type="dcterms:W3CDTF">2026-09-21T13:14:09.788Z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